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C61763">
        <w:rPr>
          <w:rFonts w:ascii="Times New Roman" w:hAnsi="Times New Roman"/>
          <w:sz w:val="28"/>
          <w:szCs w:val="28"/>
        </w:rPr>
        <w:t>64</w:t>
      </w:r>
      <w:r w:rsidR="008F0CB7">
        <w:rPr>
          <w:rFonts w:ascii="Times New Roman" w:hAnsi="Times New Roman"/>
          <w:sz w:val="28"/>
          <w:szCs w:val="28"/>
        </w:rPr>
        <w:t>0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C61763">
        <w:rPr>
          <w:rFonts w:ascii="Times New Roman" w:hAnsi="Times New Roman"/>
          <w:sz w:val="28"/>
          <w:szCs w:val="28"/>
        </w:rPr>
        <w:t>4</w:t>
      </w:r>
      <w:r w:rsidR="008F0CB7">
        <w:rPr>
          <w:rFonts w:ascii="Times New Roman" w:hAnsi="Times New Roman"/>
          <w:sz w:val="28"/>
          <w:szCs w:val="28"/>
        </w:rPr>
        <w:t>52-75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F0CB7">
        <w:rPr>
          <w:rFonts w:ascii="Times New Roman" w:eastAsia="Times New Roman" w:hAnsi="Times New Roman"/>
          <w:sz w:val="28"/>
          <w:szCs w:val="28"/>
          <w:lang w:eastAsia="ar-SA"/>
        </w:rPr>
        <w:t>640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8F0CB7" w:rsidP="008F0CB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</w:t>
      </w:r>
      <w:r w:rsidR="005559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5559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559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559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559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5599F">
        <w:rPr>
          <w:rFonts w:ascii="Times New Roman" w:hAnsi="Times New Roman"/>
          <w:sz w:val="28"/>
          <w:szCs w:val="28"/>
        </w:rPr>
        <w:t>*</w:t>
      </w:r>
      <w:r w:rsidR="004144F6">
        <w:rPr>
          <w:rFonts w:ascii="Times New Roman" w:hAnsi="Times New Roman"/>
          <w:sz w:val="28"/>
          <w:szCs w:val="28"/>
        </w:rPr>
        <w:t>,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="008F0CB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«СЕВЕР» Щербинина Т.П.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B7" w:rsidP="008F0CB7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Щербинина Т.П.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sz w:val="28"/>
          <w:szCs w:val="28"/>
        </w:rPr>
        <w:t>Щербининой</w:t>
      </w:r>
      <w:r>
        <w:rPr>
          <w:sz w:val="28"/>
          <w:szCs w:val="28"/>
        </w:rPr>
        <w:t xml:space="preserve"> Т.П.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8F0CB7" w:rsidP="008F0C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</w:t>
      </w:r>
      <w:r w:rsidR="00C260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</w:t>
      </w:r>
      <w:r w:rsidR="00C260E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Т.П., 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8F0CB7">
        <w:rPr>
          <w:rFonts w:ascii="Times New Roman" w:hAnsi="Times New Roman" w:cs="Times New Roman"/>
          <w:sz w:val="28"/>
          <w:szCs w:val="28"/>
        </w:rPr>
        <w:t>487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C61763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F0CB7">
        <w:rPr>
          <w:rFonts w:ascii="Times New Roman" w:hAnsi="Times New Roman"/>
          <w:sz w:val="28"/>
          <w:szCs w:val="28"/>
        </w:rPr>
        <w:t>ООО «Север»</w:t>
      </w:r>
      <w:r w:rsidR="00C6176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61763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F0CB7">
        <w:rPr>
          <w:rFonts w:ascii="Times New Roman" w:hAnsi="Times New Roman"/>
          <w:sz w:val="28"/>
          <w:szCs w:val="28"/>
        </w:rPr>
        <w:t xml:space="preserve">ООО «Север»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B7" w:rsidP="008F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61763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«Север» является Щербинина Т.П.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Т.П.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8F0CB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F0CB7">
        <w:rPr>
          <w:sz w:val="28"/>
          <w:szCs w:val="28"/>
        </w:rPr>
        <w:t>Щербининой</w:t>
      </w:r>
      <w:r w:rsidR="008F0CB7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F0CB7">
        <w:rPr>
          <w:sz w:val="28"/>
          <w:szCs w:val="28"/>
        </w:rPr>
        <w:t>Щербининой</w:t>
      </w:r>
      <w:r w:rsidR="008F0CB7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RPr="00C61763" w:rsidP="00C61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0CB7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8F0CB7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«СЕВЕР» Щербинину Т</w:t>
      </w:r>
      <w:r w:rsidR="0055599F">
        <w:rPr>
          <w:rFonts w:ascii="Times New Roman" w:hAnsi="Times New Roman"/>
          <w:sz w:val="28"/>
          <w:szCs w:val="28"/>
        </w:rPr>
        <w:t>.</w:t>
      </w:r>
      <w:r w:rsidR="008F0CB7">
        <w:rPr>
          <w:rFonts w:ascii="Times New Roman" w:hAnsi="Times New Roman"/>
          <w:sz w:val="28"/>
          <w:szCs w:val="28"/>
        </w:rPr>
        <w:t>П</w:t>
      </w:r>
      <w:r w:rsidR="0055599F">
        <w:rPr>
          <w:rFonts w:ascii="Times New Roman" w:hAnsi="Times New Roman"/>
          <w:sz w:val="28"/>
          <w:szCs w:val="28"/>
        </w:rPr>
        <w:t>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F0CB7">
        <w:rPr>
          <w:rFonts w:ascii="Times New Roman" w:hAnsi="Times New Roman" w:cs="Times New Roman"/>
          <w:sz w:val="28"/>
          <w:szCs w:val="28"/>
        </w:rPr>
        <w:t>6402415168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F0CB7">
        <w:rPr>
          <w:rFonts w:ascii="Times New Roman" w:hAnsi="Times New Roman"/>
          <w:sz w:val="28"/>
          <w:szCs w:val="28"/>
        </w:rPr>
        <w:t>6708866867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396F" w:rsidP="00063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396F" w:rsidP="00063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06396F" w:rsidP="00063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55599F" w:rsidP="00063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599F" w:rsidP="00555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55599F" w:rsidP="00063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21EE" w:rsidP="000639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5599F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6396F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44F6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599F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87A8D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0CB7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B1BF5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D38CD"/>
    <w:rsid w:val="00BE21EE"/>
    <w:rsid w:val="00BE22BD"/>
    <w:rsid w:val="00BE2B70"/>
    <w:rsid w:val="00BE5ED5"/>
    <w:rsid w:val="00BF00AD"/>
    <w:rsid w:val="00BF6AE7"/>
    <w:rsid w:val="00C01E60"/>
    <w:rsid w:val="00C0315A"/>
    <w:rsid w:val="00C20550"/>
    <w:rsid w:val="00C260E3"/>
    <w:rsid w:val="00C26686"/>
    <w:rsid w:val="00C4180F"/>
    <w:rsid w:val="00C42D44"/>
    <w:rsid w:val="00C45B78"/>
    <w:rsid w:val="00C506CB"/>
    <w:rsid w:val="00C55415"/>
    <w:rsid w:val="00C556C1"/>
    <w:rsid w:val="00C61763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4C8D-9A66-4F1E-A849-6F8E4EEE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